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F8" w:rsidRDefault="00F91AF8">
      <w:pPr>
        <w:pStyle w:val="ConsPlusNormal"/>
        <w:jc w:val="right"/>
        <w:outlineLvl w:val="0"/>
      </w:pPr>
      <w:r>
        <w:t>Приложение N 1</w:t>
      </w:r>
    </w:p>
    <w:p w:rsidR="00F91AF8" w:rsidRDefault="00F91AF8">
      <w:pPr>
        <w:pStyle w:val="ConsPlusNormal"/>
        <w:jc w:val="right"/>
      </w:pPr>
      <w:r>
        <w:t>к программе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Title"/>
        <w:jc w:val="center"/>
      </w:pPr>
      <w:r>
        <w:t>ПРАВИЛА</w:t>
      </w:r>
    </w:p>
    <w:p w:rsidR="00F91AF8" w:rsidRDefault="00F91AF8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F91AF8" w:rsidRDefault="00F91AF8">
      <w:pPr>
        <w:pStyle w:val="ConsPlusTitle"/>
        <w:jc w:val="center"/>
      </w:pPr>
      <w:r>
        <w:t>БЮДЖЕТА МЕСТНЫМ БЮДЖЕТАМ МУРМАНСКОЙ ОБЛАСТИ</w:t>
      </w:r>
    </w:p>
    <w:p w:rsidR="00F91AF8" w:rsidRDefault="00F91AF8">
      <w:pPr>
        <w:pStyle w:val="ConsPlusTitle"/>
        <w:jc w:val="center"/>
      </w:pPr>
      <w:r>
        <w:t>НА СОФИНАНСИРОВАНИЕ МЕРОПРИЯТИЙ ПО ОБЕСПЕЧЕНИЮ ОБЪЕКТАМИ</w:t>
      </w:r>
    </w:p>
    <w:p w:rsidR="00F91AF8" w:rsidRDefault="00F91AF8">
      <w:pPr>
        <w:pStyle w:val="ConsPlusTitle"/>
        <w:jc w:val="center"/>
      </w:pPr>
      <w:r>
        <w:t>КОММУНАЛЬНОЙ И ДОРОЖНОЙ ИНФРАСТРУКТУРЫ ЗЕМЕЛЬНЫХ УЧАСТКОВ,</w:t>
      </w:r>
    </w:p>
    <w:p w:rsidR="00F91AF8" w:rsidRDefault="00F91AF8">
      <w:pPr>
        <w:pStyle w:val="ConsPlusTitle"/>
        <w:jc w:val="center"/>
      </w:pPr>
      <w:proofErr w:type="gramStart"/>
      <w:r>
        <w:t>ПРЕДОСТАВЛЕННЫХ</w:t>
      </w:r>
      <w:proofErr w:type="gramEnd"/>
      <w:r>
        <w:t xml:space="preserve"> НА БЕЗВОЗМЕЗДНОЙ ОСНОВЕ МНОГОДЕТНЫМ СЕМЬЯМ</w:t>
      </w:r>
    </w:p>
    <w:p w:rsidR="00F91AF8" w:rsidRDefault="00F91AF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91AF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AF8" w:rsidRDefault="00F91AF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AF8" w:rsidRDefault="00F91AF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1AF8" w:rsidRDefault="00F91AF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1AF8" w:rsidRDefault="00F91AF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F91AF8" w:rsidRDefault="00F91A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30.12.2021 </w:t>
            </w:r>
            <w:hyperlink r:id="rId5">
              <w:r>
                <w:rPr>
                  <w:color w:val="0000FF"/>
                </w:rPr>
                <w:t>N 1027-ПП</w:t>
              </w:r>
            </w:hyperlink>
            <w:r>
              <w:rPr>
                <w:color w:val="392C69"/>
              </w:rPr>
              <w:t xml:space="preserve">, от 03.03.2022 </w:t>
            </w:r>
            <w:hyperlink r:id="rId6">
              <w:r>
                <w:rPr>
                  <w:color w:val="0000FF"/>
                </w:rPr>
                <w:t>N 122-ПП</w:t>
              </w:r>
            </w:hyperlink>
            <w:r>
              <w:rPr>
                <w:color w:val="392C69"/>
              </w:rPr>
              <w:t xml:space="preserve">, от 08.09.2022 </w:t>
            </w:r>
            <w:hyperlink r:id="rId7">
              <w:r>
                <w:rPr>
                  <w:color w:val="0000FF"/>
                </w:rPr>
                <w:t>N 719-ПП</w:t>
              </w:r>
            </w:hyperlink>
            <w:r>
              <w:rPr>
                <w:color w:val="392C69"/>
              </w:rPr>
              <w:t>,</w:t>
            </w:r>
          </w:p>
          <w:p w:rsidR="00F91AF8" w:rsidRDefault="00F91A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28.11.2022 </w:t>
            </w:r>
            <w:hyperlink r:id="rId8">
              <w:r>
                <w:rPr>
                  <w:color w:val="0000FF"/>
                </w:rPr>
                <w:t>N 936-ПП</w:t>
              </w:r>
            </w:hyperlink>
            <w:r>
              <w:rPr>
                <w:color w:val="392C69"/>
              </w:rPr>
              <w:t xml:space="preserve">, от 28.04.2023 </w:t>
            </w:r>
            <w:hyperlink r:id="rId9">
              <w:r>
                <w:rPr>
                  <w:color w:val="0000FF"/>
                </w:rPr>
                <w:t>N 330-ПП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AF8" w:rsidRDefault="00F91AF8">
            <w:pPr>
              <w:pStyle w:val="ConsPlusNormal"/>
            </w:pPr>
          </w:p>
        </w:tc>
      </w:tr>
    </w:tbl>
    <w:p w:rsidR="00F91AF8" w:rsidRDefault="00F91AF8">
      <w:pPr>
        <w:pStyle w:val="ConsPlusNormal"/>
        <w:jc w:val="both"/>
      </w:pPr>
    </w:p>
    <w:p w:rsidR="00F91AF8" w:rsidRDefault="00F91AF8">
      <w:pPr>
        <w:pStyle w:val="ConsPlusTitle"/>
        <w:jc w:val="center"/>
        <w:outlineLvl w:val="1"/>
      </w:pPr>
      <w:r>
        <w:t>1. Общие положения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ind w:firstLine="540"/>
        <w:jc w:val="both"/>
      </w:pPr>
      <w:r>
        <w:t>1.1. Настоящие Правила определяют порядок, цели и условия предоставления и распределения субсидии из областного бюджета местным бюджетам Мурманской области на софинансирование мероприятий по обеспечению объектами коммунальной и дорожной инфраструктуры земельных участков, предоставленных на безвозмездной основе многодетным семьям (далее - Правила, субсидия, муниципальное образование).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0" w:name="P17"/>
      <w:bookmarkEnd w:id="0"/>
      <w:r>
        <w:t>1.2. Субсидия предоставляется в целях софинансирования расходных обязательств органов местного самоуправления муниципальных образований, возникающих при реализации муниципальных программ, включающих мероприятия по обеспечению объектами коммунальной и дорожной инфраструктуры земельных участков, предоставленных на безвозмездной основе многодетным семьям.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 xml:space="preserve">Субсидия предоставляется Министерством строительства Мурманской области (далее - Министерство) по результатам проведения в соответствии с </w:t>
      </w:r>
      <w:hyperlink w:anchor="P88">
        <w:r>
          <w:rPr>
            <w:color w:val="0000FF"/>
          </w:rPr>
          <w:t>пунктом 2</w:t>
        </w:r>
      </w:hyperlink>
      <w:r>
        <w:t xml:space="preserve"> настоящих Правил конкурсного отбора заявок муниципальных образований, поступивших в адрес Министерства, от органов местного самоуправления муниципальных образований, за исключением средств, выделяемых в 2021 году из резервного фонда Правительства Мурманской области, с обязательным приложением документов, указанных в </w:t>
      </w:r>
      <w:hyperlink w:anchor="P22">
        <w:r>
          <w:rPr>
            <w:color w:val="0000FF"/>
          </w:rPr>
          <w:t>пункте 1.4</w:t>
        </w:r>
      </w:hyperlink>
      <w:r>
        <w:t xml:space="preserve"> настоящих Правил.</w:t>
      </w:r>
      <w:proofErr w:type="gramEnd"/>
    </w:p>
    <w:p w:rsidR="00F91AF8" w:rsidRDefault="00F91AF8">
      <w:pPr>
        <w:pStyle w:val="ConsPlusNormal"/>
        <w:spacing w:before="220"/>
        <w:ind w:firstLine="540"/>
        <w:jc w:val="both"/>
      </w:pPr>
      <w:r>
        <w:t>Срок приема заявок муниципальных образований Мурманской области на участие в конкурсном отборе и сроки проведения конкурсного отбора устанавливаются правовым актом, утвержденным Министерством.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В случае принятия оперативной группы (штаба) строительства решения о продлении срока выполнения работ по заключенному контракту на очередной финансовый год средства Субсидии муниципальному образованию распределяются в текущем финансовом году в объеме, подлежащем к оплате в очередном финансовом году, в соответствии с </w:t>
      </w:r>
      <w:hyperlink w:anchor="P39">
        <w:r>
          <w:rPr>
            <w:color w:val="0000FF"/>
          </w:rPr>
          <w:t>пунктом 1.10</w:t>
        </w:r>
      </w:hyperlink>
      <w:r>
        <w:t xml:space="preserve"> Правил.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1" w:name="P22"/>
      <w:bookmarkEnd w:id="1"/>
      <w:r>
        <w:t>1.4. Субсидия предоставляется бюджетам муниципальных образований при соблюдении следующих условий: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1.4.1. При наличии нормативного правового акта, утверждающего муниципальную программу, содержащую мероприятия, в целях софинансирования которых предоставляется Субсидия.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1.4.2. Утратил силу. - </w:t>
      </w:r>
      <w:hyperlink r:id="rId11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28.04.2023 N </w:t>
      </w:r>
      <w:r>
        <w:lastRenderedPageBreak/>
        <w:t>330-ПП.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1.4.3. При наличии заключенного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 ответственность за невыполнение предусмотренных указанным соглашением обязательств.</w:t>
      </w:r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субсидии осуществляются закупки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исполнителей)) (далее - закупка), обязательным условием предоставления субсидии является централизация закупок в соответствии с </w:t>
      </w:r>
      <w:hyperlink r:id="rId12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</w:t>
      </w:r>
      <w:proofErr w:type="gramEnd"/>
      <w:r>
        <w:t xml:space="preserve"> государственных и муниципальных нужд" (далее - постановление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субсидии 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4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2" w:name="P28"/>
      <w:bookmarkEnd w:id="2"/>
      <w:r>
        <w:t>1.5. Критерием отбора муниципальных образований для получения субсидии является наличие не обеспеченных коммунальной и дорожной инфраструктурой земельных участков, предоставленных на безвозмездной основе многодетным семьям.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1.6. Соглашение между Министерством и органом местного самоуправления муниципального образования о предоставлении субсидии из областного бюджета местному бюджету заключается в программном комплексе "Реестр соглашений" электронной системы "Web-Бюджет" в соответствии с типовой формой, утвержденной Министерством финансов Мурманской области (далее - Соглашение).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Представление отчетности, предусмотренной Соглашением, осуществляется посредством программного комплекса.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1.7. Соглашение должно содержать положения, установленные </w:t>
      </w:r>
      <w:hyperlink r:id="rId15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субсидии из областного бюджета местным бюджетам Мурманской области, утвержденных постановлением Правительства Мурманской области от 05.09.2011 N 445-ПП "О формировании, предоставлении и распределении субсидий из областного бюджета местным бюджетам Мурманской области" (далее - Правила N 445-ПП).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</w:t>
      </w:r>
      <w:r>
        <w:lastRenderedPageBreak/>
        <w:t>соответствующие изменения.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1.8. Субсидия предоставляется за счет средств областного бюджета местным бюджетам в соответствии со сводной бюджетной росписью областного бюджета и кассовым планом в пределах лимитов бюджетных обязательств, предусмотренных Министерству на цели, указанные в </w:t>
      </w:r>
      <w:hyperlink w:anchor="P17">
        <w:r>
          <w:rPr>
            <w:color w:val="0000FF"/>
          </w:rPr>
          <w:t>пункте 1.2</w:t>
        </w:r>
      </w:hyperlink>
      <w:r>
        <w:t xml:space="preserve"> настоящих Правил.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Распределение и перераспределение субсидии местным бюджетам из областного бюджета между муниципальными образованиями утверждается в соответствии с </w:t>
      </w:r>
      <w:hyperlink r:id="rId16">
        <w:r>
          <w:rPr>
            <w:color w:val="0000FF"/>
          </w:rPr>
          <w:t>пунктом 2</w:t>
        </w:r>
      </w:hyperlink>
      <w:r>
        <w:t xml:space="preserve"> Правил N 445-ПП.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1.9. Размер предоставляемой Субсидии не может превышать объем заявленной муниципальным образованием потребности.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В соответствии с </w:t>
      </w:r>
      <w:hyperlink r:id="rId17">
        <w:r>
          <w:rPr>
            <w:color w:val="0000FF"/>
          </w:rPr>
          <w:t>подпунктом 9 пункта 4 статьи 36</w:t>
        </w:r>
      </w:hyperlink>
      <w:r>
        <w:t xml:space="preserve"> Закона Мурманской области от 11.12.2007 N 919-01-ЗМО "О бюджетном процессе в Мурманской области" высвобождающиеся средства областного бюджета, предусмотренные на предоставление Субсидии, могут быть перераспределены между муниципальными образованиями, имеющими право на получение Субсидии, в соответствии с настоящими Правилами.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Средства Субсидии, высвобождающиеся в результате экономии по итогам проведения конкурентных процедур, по согласованию с Министерством могут быть направлены муниципальным образованием на выполнение работ, соответствующих целям предоставления Субсидии, указанным в </w:t>
      </w:r>
      <w:hyperlink w:anchor="P17">
        <w:r>
          <w:rPr>
            <w:color w:val="0000FF"/>
          </w:rPr>
          <w:t>пункте 1.2</w:t>
        </w:r>
      </w:hyperlink>
      <w:r>
        <w:t xml:space="preserve"> настоящих Правил.</w:t>
      </w:r>
    </w:p>
    <w:p w:rsidR="00F91AF8" w:rsidRDefault="00F91AF8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08.09.2022 N 719-ПП)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3" w:name="P39"/>
      <w:bookmarkEnd w:id="3"/>
      <w:r>
        <w:t xml:space="preserve">1.10. </w:t>
      </w:r>
      <w:proofErr w:type="gramStart"/>
      <w:r>
        <w:t xml:space="preserve">Распределение Субсидии местным бюджетам из областного бюджета между муниципальными образованиями осуществляется в соответствии с </w:t>
      </w:r>
      <w:hyperlink w:anchor="P117">
        <w:r>
          <w:rPr>
            <w:color w:val="0000FF"/>
          </w:rPr>
          <w:t>Порядком</w:t>
        </w:r>
      </w:hyperlink>
      <w:r>
        <w:t xml:space="preserve"> оценки заявок муниципальных образований в целях софинансирования расходных обязательств муниципальных образований по проведению мероприятий по обеспечению объектами коммунальной и дорожной инфраструктуры земельных участков, предоставленных на безвозмездной основе многодетным семьям, согласно приложению N 1 к настоящим Правилам (далее - Порядок), за исключением средств, выделяемых из резервного фонда</w:t>
      </w:r>
      <w:proofErr w:type="gramEnd"/>
      <w:r>
        <w:t xml:space="preserve"> Правительства Мурманской области и за исключением средств, выделяемых на обеспечение ранее заключенных контрактов.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Размер Субсидии за счет средств резервного фонда Правительства Мурманской области в 2021 году, предоставляемой бюджетам муниципальных образований,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7">
        <w:r>
          <w:rPr>
            <w:color w:val="0000FF"/>
          </w:rPr>
          <w:t>пункте 1.2</w:t>
        </w:r>
      </w:hyperlink>
      <w:r>
        <w:t xml:space="preserve"> настоящих Правил.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Размер Субсидии, выделяемой на обеспечение ранее заключенных контрактов, определяется в объеме принятых обязательств по долгосрочным контрактам, заключенным в рамках Субсидии.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4" w:name="P42"/>
      <w:bookmarkEnd w:id="4"/>
      <w:r>
        <w:t>1.11.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утверждаемый постановлением Правительства Мурманской области на соответствующий финансовый год.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В случае предоставления субсидии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</w:t>
      </w:r>
      <w:r>
        <w:lastRenderedPageBreak/>
        <w:t>области.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1.12.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F91AF8" w:rsidRDefault="00F91AF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1.12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08.09.2022 N 719-ПП)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1.13. В случае внесения изменений в муниципальные программы и мероприятия в указанных программах, которые влекут изменения объемов финансового обеспечения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Увеличение размера средств местных бюджетов, направляемых на реализацию мероприятий по обеспечению объектами коммунальной и дорожной инфраструктуры земельных участков, предоставленных на безвозмездной основе многодетным семьям, не влечет обязательства областного бюджета по увеличению размера предоставляемой Субсидии.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1.14. Субсидия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5" w:name="P49"/>
      <w:bookmarkEnd w:id="5"/>
      <w:r>
        <w:t>1.15. Показателем результативности использования Субсидии для контрактов, заключенных со сроком исполнения в текущем году, является количество земельных участков, в отношении которых проведены мероприятия по обеспечению объектами коммунальной и дорожной инфраструктуры.</w:t>
      </w:r>
    </w:p>
    <w:p w:rsidR="00F91AF8" w:rsidRDefault="00F91AF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Показателями результативности использования Субсидии для контрактов, заключенных сроком на два года, являются: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количество заключенных контрактов на выполнение мероприятий по обеспечению объектами коммунальной и дорожной инфраструктуры;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количество земельных участков, в отношении которых проведены мероприятия по обеспечению объектами коммунальной и дорожной инфраструктуры.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Показателями результативности использования Субсидии для контрактов, заключенных сроком на три года, являются: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количество заключенных контрактов на выполнение мероприятий по обеспечению объектами коммунальной и дорожной инфраструктуры;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5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процент выполненных работ по обеспечению объектами коммунальной и дорожной инфраструктуры;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lastRenderedPageBreak/>
        <w:t>- количество земельных участков, в отношении которых проведены мероприятия по обеспечению объектами коммунальной и дорожной инфраструктуры.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предусматривающего реализацию более одного мероприятия, значения показателей результативности использования субсидии устанавливаются по каждому мероприятию.</w:t>
      </w:r>
    </w:p>
    <w:p w:rsidR="00F91AF8" w:rsidRDefault="00F91AF8">
      <w:pPr>
        <w:pStyle w:val="ConsPlusNormal"/>
        <w:jc w:val="both"/>
      </w:pPr>
      <w:r>
        <w:t xml:space="preserve">(абзац введен </w:t>
      </w:r>
      <w:hyperlink r:id="rId2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28.11.2022 N 936-ПП)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Министерство осуществляет оценку результативности использования субсидии на основании сравнения значения показателя, установленного Соглашением, и фактически достигнутого показателя, на основании отчетных данных, представленных муниципальным образованием по итогам реализации мероприятия, по форме и срокам, установленным Соглашением.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1.16. При заключении Соглашения уполномоченными органами местного самоуправления муниципальных образований в Министерство представляется отчет об исполнении условий предоставления субсидии по форме, установленной Министерством.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Муниципальные образования ежеквартально представляют в Министерство по форме и в сроки, установленные Соглашением, следующие отчеты: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о расходах бюджета муниципального образования, в целях софинансирования которых предоставляется Субсидия;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>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Министерством может устанавливаться дополнительный перечень необходимых документов и формы отчетности.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1.17. Не использованные на 1 января текущего финансового года межбюджетные трансферты, полученные в форме Субсидии, подлежат возврату в доход областного бюджета.</w:t>
      </w:r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главного распорядителя средств областного бюджета о наличии потребности в межбюджетных трансфертах, полученных в форме Субсидии,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</w:t>
      </w:r>
      <w:proofErr w:type="gramEnd"/>
      <w:r>
        <w:t xml:space="preserve"> предоставления указанных Субсидий.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В случае если неиспользованный остаток межбюджетных трансфертов, полученных в форме субсидий,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 xml:space="preserve"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</w:t>
      </w:r>
      <w:r>
        <w:lastRenderedPageBreak/>
        <w:t>предоставление которой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6" w:name="P78"/>
      <w:bookmarkEnd w:id="6"/>
      <w:r>
        <w:t xml:space="preserve">1.18.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49">
        <w:r>
          <w:rPr>
            <w:color w:val="0000FF"/>
          </w:rPr>
          <w:t>пунктом 1.15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29">
        <w:r>
          <w:rPr>
            <w:color w:val="0000FF"/>
          </w:rPr>
          <w:t>пунктами 12</w:t>
        </w:r>
      </w:hyperlink>
      <w:r>
        <w:t xml:space="preserve"> и </w:t>
      </w:r>
      <w:hyperlink r:id="rId30">
        <w:r>
          <w:rPr>
            <w:color w:val="0000FF"/>
          </w:rPr>
          <w:t>13</w:t>
        </w:r>
      </w:hyperlink>
      <w:r>
        <w:t xml:space="preserve"> Правил N 445-ПП.</w:t>
      </w:r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 xml:space="preserve">Расчет объема средств, подлежащих возврату из местного бюджета в областной бюджет, осуществляется отдельно для каждого мероприятия и (или) объекта капитального строительства (объекта недвижимого имущества), в отношении которого допущены нарушения обязательств, предусмотренных соглашением в соответствии с </w:t>
      </w:r>
      <w:hyperlink w:anchor="P49">
        <w:r>
          <w:rPr>
            <w:color w:val="0000FF"/>
          </w:rPr>
          <w:t>пунктом 1.15</w:t>
        </w:r>
      </w:hyperlink>
      <w:r>
        <w:t xml:space="preserve"> настоящих Правил, с учетом применения показателей результативности, предусмотренных для такого мероприятия и (или) объекта капитального строительства (объекта недвижимого имущества).</w:t>
      </w:r>
      <w:proofErr w:type="gramEnd"/>
      <w:r>
        <w:t xml:space="preserve"> Общий объем средств, подлежащих возврату, определяется как сумма объемов средств, подлежащих возврату в соответствии с настоящим пунктом, для каждого из мероприятий и (или) объектов капитального строительства (объектов недвижимого имущества), в отношении которых были допущены нарушения.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1.19. Основанием для освобождения муниципальных образований от применения мер ответственности, предусмотренных </w:t>
      </w:r>
      <w:hyperlink w:anchor="P78">
        <w:r>
          <w:rPr>
            <w:color w:val="0000FF"/>
          </w:rPr>
          <w:t>пунктом 1.18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</w:t>
      </w:r>
      <w:hyperlink r:id="rId31">
        <w:r>
          <w:rPr>
            <w:color w:val="0000FF"/>
          </w:rPr>
          <w:t>пунктом 14</w:t>
        </w:r>
      </w:hyperlink>
      <w:r>
        <w:t xml:space="preserve"> Правил N 445-ПП.</w:t>
      </w:r>
    </w:p>
    <w:p w:rsidR="00F91AF8" w:rsidRDefault="00F91AF8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78">
        <w:r>
          <w:rPr>
            <w:color w:val="0000FF"/>
          </w:rPr>
          <w:t>пунктом 1.18</w:t>
        </w:r>
      </w:hyperlink>
      <w: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 объема</w:t>
      </w:r>
      <w:proofErr w:type="gramEnd"/>
      <w:r>
        <w:t xml:space="preserve"> средств, рассчитанного в соответствии с </w:t>
      </w:r>
      <w:hyperlink w:anchor="P78">
        <w:r>
          <w:rPr>
            <w:color w:val="0000FF"/>
          </w:rPr>
          <w:t>пунктом 1.18</w:t>
        </w:r>
      </w:hyperlink>
      <w:r>
        <w:t xml:space="preserve"> настоящих Правил, с указанием сумм, подлежащих возврату, средств и сроков их возврата в соответствии с настоящими Правилами.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1.20.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w:anchor="P42">
        <w:r>
          <w:rPr>
            <w:color w:val="0000FF"/>
          </w:rPr>
          <w:t>пунктом 1.11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32">
        <w:r>
          <w:rPr>
            <w:color w:val="0000FF"/>
          </w:rPr>
          <w:t>пунктом 16</w:t>
        </w:r>
      </w:hyperlink>
      <w:r>
        <w:t xml:space="preserve"> Правил N 445-ПП.</w:t>
      </w:r>
      <w:proofErr w:type="gramEnd"/>
    </w:p>
    <w:p w:rsidR="00F91AF8" w:rsidRDefault="00F91AF8">
      <w:pPr>
        <w:pStyle w:val="ConsPlusNormal"/>
        <w:spacing w:before="220"/>
        <w:ind w:firstLine="540"/>
        <w:jc w:val="both"/>
      </w:pPr>
      <w:r>
        <w:t>1.21. Средства субсидии носят целевой характер и не могут быть использованы на другие цели.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1.22. В случае нецелевого использования применяются бюджетные меры принуждения, предусмотренные бюджетным законодательством Российской Федерации.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1.23. Муниципальное образование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lastRenderedPageBreak/>
        <w:t xml:space="preserve">1.24.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их предоставлении, осуществляется Министерством и органами государственного финансового контроля Мурманской области.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Title"/>
        <w:jc w:val="center"/>
        <w:outlineLvl w:val="1"/>
      </w:pPr>
      <w:bookmarkStart w:id="7" w:name="P88"/>
      <w:bookmarkEnd w:id="7"/>
      <w:r>
        <w:t>2. Конкурсный отбор муниципальных образований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ind w:firstLine="540"/>
        <w:jc w:val="both"/>
      </w:pPr>
      <w:r>
        <w:t xml:space="preserve">2.1. Организатором конкурсного отбора является Министерство, нормативно-правовым </w:t>
      </w:r>
      <w:proofErr w:type="gramStart"/>
      <w:r>
        <w:t>актом</w:t>
      </w:r>
      <w:proofErr w:type="gramEnd"/>
      <w:r>
        <w:t xml:space="preserve"> которого утверждается состав, положение и сроки проведения мероприятий конкурсной комиссии по проведению конкурсного отбора муниципальных образований Мурманской области (далее - Комиссия).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2.2. Решение о предоставлении субсидии принимается Комиссией по результатам проведенного конкурсного отбора заявок муниципальных образований.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8" w:name="P92"/>
      <w:bookmarkEnd w:id="8"/>
      <w:r>
        <w:t xml:space="preserve">2.3. Для участия в конкурсе на получение субсидии орган местного самоуправления представляет в Министерство </w:t>
      </w:r>
      <w:hyperlink w:anchor="P218">
        <w:r>
          <w:rPr>
            <w:color w:val="0000FF"/>
          </w:rPr>
          <w:t>заявку</w:t>
        </w:r>
      </w:hyperlink>
      <w:r>
        <w:t xml:space="preserve"> (далее - Заявка) по форме в соответствии с приложением N 2 к настоящим Правилам с приложением следующих документов: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копии (или проекта) муниципальной программы, содержащей перечень мероприятий, соответствующий целям предоставления Субсидии;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перечня земельных участков, предоставленных на безвозмездной основе многодетным семьям, в отношении которых планируется выполнение мероприятий по обеспечению коммунальной и дорожной инфраструктуры, с приложением описания и анализа местоположения, фотографии и (или) плана расположения на карте.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Описание необходимо начинать с района, в котором расположены земельные участки. </w:t>
      </w:r>
      <w:proofErr w:type="gramStart"/>
      <w:r>
        <w:t>Также осуществляется предварительный анализ состояния территории, приводится описание существующей инфраструктуры или ее отсутствие, перечисляются мероприятия, реализуемые муниципальным образованием на данной территории, указывается уровень строительства индивидуальных жилых домов и степень их готовности в результате визуального осмотра, анализируется потенциальная заинтересованность в строительстве иных категорий граждан, а также любая доступная информация, позволяющая оценить преимущество земельных участков при распределении Субсидии;</w:t>
      </w:r>
      <w:proofErr w:type="gramEnd"/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абзацы пятый - шестой исключены. - </w:t>
      </w:r>
      <w:hyperlink r:id="rId33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28.04.2023 N 330-ПП;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</w:t>
      </w:r>
      <w:hyperlink w:anchor="P429">
        <w:r>
          <w:rPr>
            <w:color w:val="0000FF"/>
          </w:rPr>
          <w:t>информации</w:t>
        </w:r>
      </w:hyperlink>
      <w:r>
        <w:t xml:space="preserve"> о принятых обязательствах по долгосрочным контрактам, заключенным в рамках предоставленной Субсидии по форме в соответствии с приложением N 4 к настоящим Правилам;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гарантийного письма или иных документов от юридического лица, подтверждающих выделение внебюджетных источников финансирования мероприятий по обеспечению инфраструктурой земельных участков, предоставленных многодетным семьям.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2.4. Основаниями для принятия решения о несоответствии поступивших документов и информации в них требованиям настоящих Правил являются: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несоответствие их критериям предоставления субсидии, установленным </w:t>
      </w:r>
      <w:hyperlink w:anchor="P28">
        <w:r>
          <w:rPr>
            <w:color w:val="0000FF"/>
          </w:rPr>
          <w:t>пунктом 1.5</w:t>
        </w:r>
      </w:hyperlink>
      <w:r>
        <w:t xml:space="preserve"> настоящих Правил;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несоблюдение уровня софинансирования расходного обязательства муниципального образования, установленного </w:t>
      </w:r>
      <w:hyperlink w:anchor="P42">
        <w:r>
          <w:rPr>
            <w:color w:val="0000FF"/>
          </w:rPr>
          <w:t>пунктом 1.11</w:t>
        </w:r>
      </w:hyperlink>
      <w:r>
        <w:t xml:space="preserve"> настоящих Правил;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непредставление или представление не в полном объеме документов, установленных </w:t>
      </w:r>
      <w:hyperlink w:anchor="P92">
        <w:r>
          <w:rPr>
            <w:color w:val="0000FF"/>
          </w:rPr>
          <w:t>пунктом 2.3</w:t>
        </w:r>
      </w:hyperlink>
      <w:r>
        <w:t xml:space="preserve"> настоящих Правил.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2.5. В результате проведенного конкурса и распределения Субсидии Министерство в течение 4 рабочих дней направляет в муниципальное образование уведомление о принятом решении.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2.6. Муниципальное образование предоставляет в адрес Министерства при заключении соглашения следующие документы: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34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28.04.2023 N 330-ПП;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копию правового акта или проекта правового акта муниципального образования, утверждающего перечень мероприятий, подлежащих софинансированию за счет областного бюджета, с указанием объемов финансирования мероприятий за счет средств областного и местного бюджетов;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график выполнения мероприятий.</w:t>
      </w:r>
    </w:p>
    <w:p w:rsidR="00F91AF8" w:rsidRDefault="00F91AF8">
      <w:pPr>
        <w:pStyle w:val="ConsPlusNormal"/>
        <w:jc w:val="both"/>
      </w:pPr>
      <w:r>
        <w:t xml:space="preserve">(п. 2.6 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03.03.2022 N 122-ПП)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right"/>
        <w:outlineLvl w:val="1"/>
      </w:pPr>
      <w:r>
        <w:t>Приложение N 1</w:t>
      </w:r>
    </w:p>
    <w:p w:rsidR="00F91AF8" w:rsidRDefault="00F91AF8">
      <w:pPr>
        <w:pStyle w:val="ConsPlusNormal"/>
        <w:jc w:val="right"/>
      </w:pPr>
      <w:r>
        <w:t>к Правилам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Title"/>
        <w:jc w:val="center"/>
      </w:pPr>
      <w:bookmarkStart w:id="9" w:name="P117"/>
      <w:bookmarkEnd w:id="9"/>
      <w:r>
        <w:t>ПОРЯДОК</w:t>
      </w:r>
    </w:p>
    <w:p w:rsidR="00F91AF8" w:rsidRDefault="00F91AF8">
      <w:pPr>
        <w:pStyle w:val="ConsPlusTitle"/>
        <w:jc w:val="center"/>
      </w:pPr>
      <w:r>
        <w:t>ОЦЕНКИ ЗАЯВОК МУНИЦИПАЛЬНЫХ ОБРАЗОВАНИЙ В ЦЕЛЯХ</w:t>
      </w:r>
    </w:p>
    <w:p w:rsidR="00F91AF8" w:rsidRDefault="00F91AF8">
      <w:pPr>
        <w:pStyle w:val="ConsPlusTitle"/>
        <w:jc w:val="center"/>
      </w:pPr>
      <w:r>
        <w:t>СОФИНАНСИРОВАНИЯ РАСХОДНЫХ ОБЯЗАТЕЛЬСТВ МУНИЦИПАЛЬНЫХ</w:t>
      </w:r>
    </w:p>
    <w:p w:rsidR="00F91AF8" w:rsidRDefault="00F91AF8">
      <w:pPr>
        <w:pStyle w:val="ConsPlusTitle"/>
        <w:jc w:val="center"/>
      </w:pPr>
      <w:r>
        <w:t xml:space="preserve">ОБРАЗОВАНИЙ ПО ОБЕСПЕЧЕНИЮ ОБЪЕКТАМИ </w:t>
      </w:r>
      <w:proofErr w:type="gramStart"/>
      <w:r>
        <w:t>КОММУНАЛЬНОЙ</w:t>
      </w:r>
      <w:proofErr w:type="gramEnd"/>
      <w:r>
        <w:t xml:space="preserve"> И ДОРОЖНОЙ</w:t>
      </w:r>
    </w:p>
    <w:p w:rsidR="00F91AF8" w:rsidRDefault="00F91AF8">
      <w:pPr>
        <w:pStyle w:val="ConsPlusTitle"/>
        <w:jc w:val="center"/>
      </w:pPr>
      <w:r>
        <w:t>ИНФРАСТРУКТУРЫ ЗЕМЕЛЬНЫХ УЧАСТКОВ, ПРЕДОСТАВЛЕННЫХ</w:t>
      </w:r>
    </w:p>
    <w:p w:rsidR="00F91AF8" w:rsidRDefault="00F91AF8">
      <w:pPr>
        <w:pStyle w:val="ConsPlusTitle"/>
        <w:jc w:val="center"/>
      </w:pPr>
      <w:r>
        <w:t>НА БЕЗВОЗМЕЗДНОЙ ОСНОВЕ МНОГОДЕТНЫМ СЕМЬЯМ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ind w:firstLine="540"/>
        <w:jc w:val="both"/>
      </w:pPr>
      <w:r>
        <w:t>1. Настоящий порядок определяет критерии оценки муниципальных образований в целях распределения субсидии на конкурсной основе между муниципальными образованиями на софинансирование расходных обязательств органов местного самоуправления муниципальных образований, возникающих при реализации муниципальных программ, включающих мероприятия по обеспечению объектами коммунальной и дорожной инфраструктуры земельных участков, предоставленных на безвозмездной основе многодетным семьям.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2. Для определения победителей конкурсного отбора проводится балльная оценка отдельно каждой территории, на которой расположены земельные участки, предоставленные многодетным семьям, указанной в заявке муниципального образования, путем суммирования баллов, значения которых приведены в </w:t>
      </w:r>
      <w:hyperlink w:anchor="P126">
        <w:r>
          <w:rPr>
            <w:color w:val="0000FF"/>
          </w:rPr>
          <w:t>пункте 3</w:t>
        </w:r>
      </w:hyperlink>
      <w:r>
        <w:t xml:space="preserve"> настоящего Порядка. В случае если несколько муниципальных образований, претендующих на субсидию, набрали равное количество баллов, победителем признается муниципальное образование, подавшее заявку в Министерство раньше других.</w:t>
      </w:r>
    </w:p>
    <w:p w:rsidR="00F91AF8" w:rsidRDefault="00F91AF8">
      <w:pPr>
        <w:pStyle w:val="ConsPlusNormal"/>
        <w:spacing w:before="220"/>
        <w:ind w:firstLine="540"/>
        <w:jc w:val="both"/>
      </w:pPr>
      <w:bookmarkStart w:id="10" w:name="P126"/>
      <w:bookmarkEnd w:id="10"/>
      <w:r>
        <w:t>3. Критерии оценки заявок.</w:t>
      </w:r>
    </w:p>
    <w:p w:rsidR="00F91AF8" w:rsidRDefault="00F91AF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499"/>
        <w:gridCol w:w="2154"/>
        <w:gridCol w:w="907"/>
      </w:tblGrid>
      <w:tr w:rsidR="00F91AF8"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99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Критерий оценки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Шкала оценки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Баллы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Количество земельных участков, предоставленных на безвозмездной основе многодетным семьям, в отношении которых планируется выполнение мероприятий за счет средств Субсидии &lt;*&gt;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до 5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от 6 до 10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от 11 до 25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от 26 до 40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40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от 41 до 60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от 61 и выше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60</w:t>
            </w:r>
          </w:p>
        </w:tc>
      </w:tr>
      <w:tr w:rsidR="00F91AF8"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60" w:type="dxa"/>
            <w:gridSpan w:val="3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Наличие инфраструктуры на территории, в границах которой располагаются земельные участки, обеспечиваемые инфраструктурой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Электроснабжение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да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нет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частично (учитывая заключенные контракты)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30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Водоснабжение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да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нет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частично (учитывая заключенные контракты)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30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Водоотведение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да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нет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частично (учитывая заключенные контракты)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30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Улично-дорожная сеть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да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нет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частично (учитывая заключенные контракты)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30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Наличие проектно-сметной документации с положительным заключением государственной экспертизы по планируемым к выполнению в текущем году мероприятиям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частично (учитывая заключенные контракты)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40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нет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0</w:t>
            </w:r>
          </w:p>
        </w:tc>
      </w:tr>
      <w:tr w:rsidR="00F91AF8"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9" w:type="dxa"/>
            <w:vAlign w:val="center"/>
          </w:tcPr>
          <w:p w:rsidR="00F91AF8" w:rsidRDefault="00F91AF8">
            <w:pPr>
              <w:pStyle w:val="ConsPlusNormal"/>
            </w:pPr>
            <w:r>
              <w:t>По результатам предоставления Субсидии будут завершены мероприятия по обеспечению инфраструктурой в полном объеме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100</w:t>
            </w:r>
          </w:p>
        </w:tc>
      </w:tr>
      <w:tr w:rsidR="00F91AF8">
        <w:tc>
          <w:tcPr>
            <w:tcW w:w="51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5499" w:type="dxa"/>
            <w:vMerge w:val="restart"/>
            <w:vAlign w:val="center"/>
          </w:tcPr>
          <w:p w:rsidR="00F91AF8" w:rsidRDefault="00F91AF8">
            <w:pPr>
              <w:pStyle w:val="ConsPlusNormal"/>
            </w:pPr>
            <w:r>
              <w:t>Привлечение внебюджетных источников финансирования мероприятий</w:t>
            </w: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от 500 тыс. руб. до 1 млн. руб.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50</w:t>
            </w:r>
          </w:p>
        </w:tc>
      </w:tr>
      <w:tr w:rsidR="00F91AF8">
        <w:tc>
          <w:tcPr>
            <w:tcW w:w="51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499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vAlign w:val="center"/>
          </w:tcPr>
          <w:p w:rsidR="00F91AF8" w:rsidRDefault="00F91AF8">
            <w:pPr>
              <w:pStyle w:val="ConsPlusNormal"/>
            </w:pPr>
            <w:r>
              <w:t>свыше 1 млн. руб.</w:t>
            </w:r>
          </w:p>
        </w:tc>
        <w:tc>
          <w:tcPr>
            <w:tcW w:w="90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100</w:t>
            </w:r>
          </w:p>
        </w:tc>
      </w:tr>
    </w:tbl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ind w:firstLine="540"/>
        <w:jc w:val="both"/>
      </w:pPr>
      <w:r>
        <w:t>--------------------------------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&lt;*&gt; В случае</w:t>
      </w:r>
      <w:proofErr w:type="gramStart"/>
      <w:r>
        <w:t>,</w:t>
      </w:r>
      <w:proofErr w:type="gramEnd"/>
      <w:r>
        <w:t xml:space="preserve"> если планируется выполнение различных мероприятий на одних и тех же земельных участках, то количество земельных участков не суммируется.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ind w:firstLine="540"/>
        <w:jc w:val="both"/>
      </w:pPr>
      <w:r>
        <w:t>4. В распределении субсидии участвуют муниципальные образования, набравшие не менее 90 баллов.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 xml:space="preserve">Муниципальные образования, в которых уровень расчетной бюджетной обеспеченности свыше 1,5, обеспечиваются средствами на реализацию одного мероприятия по одному виду работ и в отношении одной территории, без учета ранее заключенных контрактов, обозначенных в </w:t>
      </w:r>
      <w:hyperlink w:anchor="P39">
        <w:r>
          <w:rPr>
            <w:color w:val="0000FF"/>
          </w:rPr>
          <w:t>пункте 1.10</w:t>
        </w:r>
      </w:hyperlink>
      <w:r>
        <w:t xml:space="preserve"> настоящих Правил.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5. Победителями конкурса признаются муниципальные образования, чьи территории, на которых расположены земельные участки, предоставленные многодетным семьям, указанные в заявке, набрали наибольшее количество баллов.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6. Объем средств, предусмотренный муниципальному образованию на реализацию мероприятий по обеспечению объектами коммунальной и дорожной инфраструктуры земельных участков, предоставленных на безвозмездной основе многодетным семьям, не может быть: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меньше заявленной потребности муниципального образования;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- меньше принятых обязательств по долгосрочным контрактам, заключенным в объемах предоставленной Субсидии по ранее заключенным Соглашениям.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7. Остаток средств субсидии, сложившийся после распределения муниципальным образованиям, набравшим наибольшее количество баллов, распределяется следующему по количеству баллов муниципальному образованию. В случае недостаточности финансовых сре</w:t>
      </w:r>
      <w:proofErr w:type="gramStart"/>
      <w:r>
        <w:t>дств дл</w:t>
      </w:r>
      <w:proofErr w:type="gramEnd"/>
      <w:r>
        <w:t>я предоставления такому муниципальному образованию на осуществление мероприятий, в целях которых предоставляется субсидия, финансовые средства распределяются муниципальному образованию, потребность которого в полном объеме может быть покрыта оставшимися средствами (с учетом порядка очередности, сложившегося в результате конкурсного отбора).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right"/>
        <w:outlineLvl w:val="1"/>
      </w:pPr>
      <w:r>
        <w:t>Приложение N 2</w:t>
      </w:r>
    </w:p>
    <w:p w:rsidR="00F91AF8" w:rsidRDefault="00F91AF8">
      <w:pPr>
        <w:pStyle w:val="ConsPlusNormal"/>
        <w:jc w:val="right"/>
      </w:pPr>
      <w:r>
        <w:t>к Правилам</w:t>
      </w:r>
    </w:p>
    <w:p w:rsidR="00F91AF8" w:rsidRDefault="00F91AF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91AF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AF8" w:rsidRDefault="00F91AF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AF8" w:rsidRDefault="00F91AF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91AF8" w:rsidRDefault="00F91AF8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F91AF8" w:rsidRDefault="00F91AF8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3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F91AF8" w:rsidRDefault="00F91AF8">
            <w:pPr>
              <w:pStyle w:val="ConsPlusNormal"/>
              <w:jc w:val="right"/>
            </w:pPr>
            <w:r>
              <w:rPr>
                <w:color w:val="392C69"/>
              </w:rPr>
              <w:t>от 28.04.2023 N 330-ПП)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91AF8" w:rsidRDefault="00F91AF8">
            <w:pPr>
              <w:pStyle w:val="ConsPlusNormal"/>
            </w:pPr>
          </w:p>
        </w:tc>
      </w:tr>
    </w:tbl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center"/>
      </w:pPr>
      <w:bookmarkStart w:id="11" w:name="P218"/>
      <w:bookmarkEnd w:id="11"/>
      <w:r>
        <w:t>ЗАЯВКА</w:t>
      </w:r>
    </w:p>
    <w:p w:rsidR="00F91AF8" w:rsidRDefault="00F91AF8">
      <w:pPr>
        <w:pStyle w:val="ConsPlusNormal"/>
        <w:jc w:val="center"/>
      </w:pPr>
      <w:r>
        <w:t>_________________________________________</w:t>
      </w:r>
    </w:p>
    <w:p w:rsidR="00F91AF8" w:rsidRDefault="00F91AF8">
      <w:pPr>
        <w:pStyle w:val="ConsPlusNormal"/>
        <w:jc w:val="center"/>
      </w:pPr>
      <w:r>
        <w:t>(наименование муниципального образования)</w:t>
      </w:r>
    </w:p>
    <w:p w:rsidR="00F91AF8" w:rsidRDefault="00F91AF8">
      <w:pPr>
        <w:pStyle w:val="ConsPlusNormal"/>
        <w:jc w:val="center"/>
      </w:pPr>
      <w:r>
        <w:t>НА ПРЕДОСТАВЛЕНИЕ СУБСИДИИ ИЗ ОБЛАСТНОГО БЮДЖЕТА МЕСТНЫМ</w:t>
      </w:r>
    </w:p>
    <w:p w:rsidR="00F91AF8" w:rsidRDefault="00F91AF8">
      <w:pPr>
        <w:pStyle w:val="ConsPlusNormal"/>
        <w:jc w:val="center"/>
      </w:pPr>
      <w:r>
        <w:lastRenderedPageBreak/>
        <w:t>БЮДЖЕТАМ МУРМАНСКОЙ ОБЛАСТИ НА СОФИНАНСИРОВАНИЕ МЕРОПРИЯТИЙ</w:t>
      </w:r>
    </w:p>
    <w:p w:rsidR="00F91AF8" w:rsidRDefault="00F91AF8">
      <w:pPr>
        <w:pStyle w:val="ConsPlusNormal"/>
        <w:jc w:val="center"/>
      </w:pPr>
      <w:r>
        <w:t xml:space="preserve">ПО ОБЕСПЕЧЕНИЮ ОБЪЕКТАМИ </w:t>
      </w:r>
      <w:proofErr w:type="gramStart"/>
      <w:r>
        <w:t>КОММУНАЛЬНОЙ</w:t>
      </w:r>
      <w:proofErr w:type="gramEnd"/>
      <w:r>
        <w:t xml:space="preserve"> И ДОРОЖНОЙ</w:t>
      </w:r>
    </w:p>
    <w:p w:rsidR="00F91AF8" w:rsidRDefault="00F91AF8">
      <w:pPr>
        <w:pStyle w:val="ConsPlusNormal"/>
        <w:jc w:val="center"/>
      </w:pPr>
      <w:r>
        <w:t>ИНФРАСТРУКТУРЫ ЗЕМЕЛЬНЫХ УЧАСТКОВ, ПРЕДОСТАВЛЕННЫХ</w:t>
      </w:r>
    </w:p>
    <w:p w:rsidR="00F91AF8" w:rsidRDefault="00F91AF8">
      <w:pPr>
        <w:pStyle w:val="ConsPlusNormal"/>
        <w:jc w:val="center"/>
      </w:pPr>
      <w:r>
        <w:t>НА БЕЗВОЗМЕЗДНОЙ ОСНОВЕ МНОГОДЕТНЫМ СЕМЬЯМ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ind w:firstLine="540"/>
        <w:jc w:val="both"/>
      </w:pPr>
      <w:r>
        <w:t>Плановый объем расходных обязательств муниципального образования _______________________ по обеспечению объектами коммунальной и дорожной инфраструктуры земельных участков, предоставленных на безвозмездной основе многодетным семьям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на 2022 год составляет _____________ рублей, в том числе за счет средств областного бюджета__________ рублей, за счет средств местного бюджета ___________ рублей, за счет внебюджетных источников ____________ рублей,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на 2023 год составляет _____________ рублей, в том числе за счет средств областного бюджета__________ рублей, за счет средств местного бюджета ___________ рублей, за счет внебюджетных источников ____________ рублей,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на 2024 год составляет _____________ рублей, в том числе за счет средств областного бюджета__________ рублей, за счет средств местного бюджета ___________ рублей, за счет внебюджетных источников ____________ рублей.</w:t>
      </w:r>
    </w:p>
    <w:p w:rsidR="00F91AF8" w:rsidRDefault="00F91AF8">
      <w:pPr>
        <w:pStyle w:val="ConsPlusNormal"/>
        <w:spacing w:before="220"/>
        <w:ind w:firstLine="540"/>
        <w:jc w:val="both"/>
      </w:pPr>
      <w:r>
        <w:t>Консолидированные средства бюджета планируется направить на выполнение следующих мероприятий: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sectPr w:rsidR="00F91AF8" w:rsidSect="00256D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191"/>
        <w:gridCol w:w="567"/>
        <w:gridCol w:w="1134"/>
        <w:gridCol w:w="850"/>
        <w:gridCol w:w="964"/>
        <w:gridCol w:w="850"/>
        <w:gridCol w:w="794"/>
        <w:gridCol w:w="850"/>
        <w:gridCol w:w="850"/>
        <w:gridCol w:w="964"/>
        <w:gridCol w:w="850"/>
        <w:gridCol w:w="1077"/>
        <w:gridCol w:w="510"/>
        <w:gridCol w:w="567"/>
        <w:gridCol w:w="567"/>
        <w:gridCol w:w="510"/>
        <w:gridCol w:w="510"/>
        <w:gridCol w:w="510"/>
        <w:gridCol w:w="567"/>
        <w:gridCol w:w="510"/>
        <w:gridCol w:w="510"/>
        <w:gridCol w:w="510"/>
        <w:gridCol w:w="567"/>
        <w:gridCol w:w="510"/>
      </w:tblGrid>
      <w:tr w:rsidR="00F91AF8">
        <w:tc>
          <w:tcPr>
            <w:tcW w:w="1304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lastRenderedPageBreak/>
              <w:t>Мероприятие</w:t>
            </w:r>
          </w:p>
        </w:tc>
        <w:tc>
          <w:tcPr>
            <w:tcW w:w="1191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Наименование территории, в границах которой реализуется мероприятие</w:t>
            </w:r>
          </w:p>
        </w:tc>
        <w:tc>
          <w:tcPr>
            <w:tcW w:w="2551" w:type="dxa"/>
            <w:gridSpan w:val="3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Количество земельных участков</w:t>
            </w:r>
          </w:p>
        </w:tc>
        <w:tc>
          <w:tcPr>
            <w:tcW w:w="964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Наличие ПСД (учитывая заключенные контракты)</w:t>
            </w:r>
          </w:p>
        </w:tc>
        <w:tc>
          <w:tcPr>
            <w:tcW w:w="5158" w:type="dxa"/>
            <w:gridSpan w:val="6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Виды работ</w:t>
            </w:r>
          </w:p>
        </w:tc>
        <w:tc>
          <w:tcPr>
            <w:tcW w:w="7425" w:type="dxa"/>
            <w:gridSpan w:val="13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Стоимость, руб.</w:t>
            </w:r>
          </w:p>
        </w:tc>
      </w:tr>
      <w:tr w:rsidR="00F91AF8">
        <w:tc>
          <w:tcPr>
            <w:tcW w:w="130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551" w:type="dxa"/>
            <w:gridSpan w:val="3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644" w:type="dxa"/>
            <w:gridSpan w:val="2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Разработка ПСД</w:t>
            </w:r>
          </w:p>
        </w:tc>
        <w:tc>
          <w:tcPr>
            <w:tcW w:w="1700" w:type="dxa"/>
            <w:gridSpan w:val="2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Строительно-монтажные работы</w:t>
            </w:r>
          </w:p>
        </w:tc>
        <w:tc>
          <w:tcPr>
            <w:tcW w:w="1814" w:type="dxa"/>
            <w:gridSpan w:val="2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Технологическое присоединение</w:t>
            </w:r>
          </w:p>
        </w:tc>
        <w:tc>
          <w:tcPr>
            <w:tcW w:w="1077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Всего (гр. 14 + гр. 18 + гр. 22)</w:t>
            </w:r>
          </w:p>
        </w:tc>
        <w:tc>
          <w:tcPr>
            <w:tcW w:w="6348" w:type="dxa"/>
            <w:gridSpan w:val="12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 т.ч.</w:t>
            </w:r>
          </w:p>
        </w:tc>
      </w:tr>
      <w:tr w:rsidR="00F91AF8">
        <w:tc>
          <w:tcPr>
            <w:tcW w:w="130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134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 xml:space="preserve">В т.ч. </w:t>
            </w:r>
            <w:proofErr w:type="gramStart"/>
            <w:r>
              <w:t>предоставленных</w:t>
            </w:r>
            <w:proofErr w:type="gramEnd"/>
            <w:r>
              <w:t xml:space="preserve"> многодетным семьям</w:t>
            </w:r>
          </w:p>
        </w:tc>
        <w:tc>
          <w:tcPr>
            <w:tcW w:w="85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Ранее обеспечено инфраструктурой</w:t>
            </w:r>
          </w:p>
        </w:tc>
        <w:tc>
          <w:tcPr>
            <w:tcW w:w="96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Количество земельных участков</w:t>
            </w:r>
          </w:p>
        </w:tc>
        <w:tc>
          <w:tcPr>
            <w:tcW w:w="794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Стоимость работ, руб.</w:t>
            </w:r>
          </w:p>
        </w:tc>
        <w:tc>
          <w:tcPr>
            <w:tcW w:w="85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Количество земельных участков</w:t>
            </w:r>
          </w:p>
        </w:tc>
        <w:tc>
          <w:tcPr>
            <w:tcW w:w="85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Стоимость работ, руб.</w:t>
            </w:r>
          </w:p>
        </w:tc>
        <w:tc>
          <w:tcPr>
            <w:tcW w:w="964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Количество земельных участков</w:t>
            </w:r>
          </w:p>
        </w:tc>
        <w:tc>
          <w:tcPr>
            <w:tcW w:w="850" w:type="dxa"/>
            <w:vMerge w:val="restart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Стоимость работ, руб.</w:t>
            </w:r>
          </w:p>
        </w:tc>
        <w:tc>
          <w:tcPr>
            <w:tcW w:w="1077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2154" w:type="dxa"/>
            <w:gridSpan w:val="4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На 2022 год</w:t>
            </w:r>
          </w:p>
        </w:tc>
        <w:tc>
          <w:tcPr>
            <w:tcW w:w="2097" w:type="dxa"/>
            <w:gridSpan w:val="4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На 2023 год</w:t>
            </w:r>
          </w:p>
        </w:tc>
        <w:tc>
          <w:tcPr>
            <w:tcW w:w="2097" w:type="dxa"/>
            <w:gridSpan w:val="4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На 2024 год</w:t>
            </w:r>
          </w:p>
        </w:tc>
      </w:tr>
      <w:tr w:rsidR="00F91AF8">
        <w:tc>
          <w:tcPr>
            <w:tcW w:w="130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077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ОБ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ОБ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ВБ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ОБ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МБ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ВБ</w:t>
            </w:r>
          </w:p>
        </w:tc>
      </w:tr>
      <w:tr w:rsidR="00F91AF8">
        <w:tc>
          <w:tcPr>
            <w:tcW w:w="1304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91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67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10" w:type="dxa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25</w:t>
            </w:r>
          </w:p>
        </w:tc>
      </w:tr>
      <w:tr w:rsidR="00F91AF8">
        <w:tc>
          <w:tcPr>
            <w:tcW w:w="1304" w:type="dxa"/>
          </w:tcPr>
          <w:p w:rsidR="00F91AF8" w:rsidRDefault="00F91AF8">
            <w:pPr>
              <w:pStyle w:val="ConsPlusNormal"/>
            </w:pPr>
            <w:r>
              <w:t>Электроснабжение</w:t>
            </w: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07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</w:tr>
      <w:tr w:rsidR="00F91AF8">
        <w:tc>
          <w:tcPr>
            <w:tcW w:w="1304" w:type="dxa"/>
          </w:tcPr>
          <w:p w:rsidR="00F91AF8" w:rsidRDefault="00F91AF8">
            <w:pPr>
              <w:pStyle w:val="ConsPlusNormal"/>
            </w:pPr>
            <w:r>
              <w:t>Водоснабжение</w:t>
            </w: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07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</w:tr>
      <w:tr w:rsidR="00F91AF8">
        <w:tc>
          <w:tcPr>
            <w:tcW w:w="1304" w:type="dxa"/>
          </w:tcPr>
          <w:p w:rsidR="00F91AF8" w:rsidRDefault="00F91AF8">
            <w:pPr>
              <w:pStyle w:val="ConsPlusNormal"/>
            </w:pPr>
            <w:r>
              <w:t>Водоотведение</w:t>
            </w: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07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</w:tr>
      <w:tr w:rsidR="00F91AF8">
        <w:tc>
          <w:tcPr>
            <w:tcW w:w="1304" w:type="dxa"/>
          </w:tcPr>
          <w:p w:rsidR="00F91AF8" w:rsidRDefault="00F91AF8">
            <w:pPr>
              <w:pStyle w:val="ConsPlusNormal"/>
            </w:pPr>
            <w:r>
              <w:t>Улично-дорожная сеть</w:t>
            </w: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6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85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07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6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510" w:type="dxa"/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</w:tblBorders>
        </w:tblPrEx>
        <w:tc>
          <w:tcPr>
            <w:tcW w:w="18593" w:type="dxa"/>
            <w:gridSpan w:val="25"/>
            <w:tcBorders>
              <w:left w:val="nil"/>
              <w:bottom w:val="nil"/>
              <w:right w:val="nil"/>
            </w:tcBorders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</w:tblBorders>
        </w:tblPrEx>
        <w:tc>
          <w:tcPr>
            <w:tcW w:w="1859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91AF8" w:rsidRDefault="00F91AF8">
            <w:pPr>
              <w:pStyle w:val="ConsPlusNormal"/>
              <w:jc w:val="both"/>
            </w:pPr>
            <w:r>
              <w:t>К заявке на получение субсидии прилагаются следующие документы:</w:t>
            </w:r>
          </w:p>
          <w:p w:rsidR="00F91AF8" w:rsidRDefault="00F91AF8">
            <w:pPr>
              <w:pStyle w:val="ConsPlusNormal"/>
              <w:jc w:val="both"/>
            </w:pPr>
            <w:r>
              <w:t>- копия (или проект) муниципальной программы, содержащей перечень мероприятий, соответствующий целям предоставления Субсидии;</w:t>
            </w:r>
          </w:p>
          <w:p w:rsidR="00F91AF8" w:rsidRDefault="00F91AF8">
            <w:pPr>
              <w:pStyle w:val="ConsPlusNormal"/>
              <w:jc w:val="both"/>
            </w:pPr>
            <w:r>
              <w:t xml:space="preserve">- перечень земельных участков, предоставленных на безвозмездной основе многодетным </w:t>
            </w:r>
            <w:proofErr w:type="gramStart"/>
            <w:r>
              <w:t>семьям</w:t>
            </w:r>
            <w:proofErr w:type="gramEnd"/>
            <w:r>
              <w:t xml:space="preserve"> в отношении которых планируется выполнение мероприятий по обеспечению коммунальной и дорожной инфраструктуры, с приложением описания и анализа местоположения, фотографии и планы расположения на карте;</w:t>
            </w:r>
          </w:p>
          <w:p w:rsidR="00F91AF8" w:rsidRDefault="00F91AF8">
            <w:pPr>
              <w:pStyle w:val="ConsPlusNormal"/>
              <w:jc w:val="both"/>
            </w:pPr>
            <w:r>
              <w:t>- заверенная копия документа, подтверждающего полномочия лица, подписавшего гарантийное письмо;</w:t>
            </w:r>
          </w:p>
          <w:p w:rsidR="00F91AF8" w:rsidRDefault="00F91AF8">
            <w:pPr>
              <w:pStyle w:val="ConsPlusNormal"/>
              <w:jc w:val="both"/>
            </w:pPr>
            <w:r>
              <w:lastRenderedPageBreak/>
              <w:t>- информация о наличии обязательств по ранее заключенным контрактам в рамках предоставленной субсидии;</w:t>
            </w:r>
          </w:p>
          <w:p w:rsidR="00F91AF8" w:rsidRDefault="00F91AF8">
            <w:pPr>
              <w:pStyle w:val="ConsPlusNormal"/>
              <w:jc w:val="both"/>
            </w:pPr>
            <w:r>
              <w:t>- гарантийное письмо или иные документы от юридического лица, подтверждающие выделение внебюджетных источников финансирования мероприятий по обеспечению инфраструктурой земельных участков, предоставленных многодетным семьям.</w:t>
            </w:r>
          </w:p>
          <w:p w:rsidR="00F91AF8" w:rsidRDefault="00F91AF8">
            <w:pPr>
              <w:pStyle w:val="ConsPlusNormal"/>
              <w:jc w:val="both"/>
            </w:pPr>
            <w:r>
              <w:t>Достоверность представленных сведений гарантирую</w:t>
            </w:r>
          </w:p>
        </w:tc>
      </w:tr>
      <w:tr w:rsidR="00F91AF8">
        <w:tblPrEx>
          <w:tblBorders>
            <w:left w:val="nil"/>
            <w:right w:val="nil"/>
            <w:insideH w:val="nil"/>
          </w:tblBorders>
        </w:tblPrEx>
        <w:tc>
          <w:tcPr>
            <w:tcW w:w="18593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010" w:type="dxa"/>
            <w:gridSpan w:val="6"/>
            <w:tcBorders>
              <w:top w:val="nil"/>
              <w:bottom w:val="nil"/>
            </w:tcBorders>
            <w:vAlign w:val="bottom"/>
          </w:tcPr>
          <w:p w:rsidR="00F91AF8" w:rsidRDefault="00F91AF8">
            <w:pPr>
              <w:pStyle w:val="ConsPlusNormal"/>
            </w:pPr>
            <w:r>
              <w:t>Глава администрации муниципального образования</w:t>
            </w:r>
          </w:p>
        </w:tc>
        <w:tc>
          <w:tcPr>
            <w:tcW w:w="3344" w:type="dxa"/>
            <w:gridSpan w:val="4"/>
            <w:tcBorders>
              <w:top w:val="nil"/>
            </w:tcBorders>
            <w:vAlign w:val="bottom"/>
          </w:tcPr>
          <w:p w:rsidR="00F91AF8" w:rsidRDefault="00F91AF8">
            <w:pPr>
              <w:pStyle w:val="ConsPlusNormal"/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  <w:vAlign w:val="bottom"/>
          </w:tcPr>
          <w:p w:rsidR="00F91AF8" w:rsidRDefault="00F91AF8">
            <w:pPr>
              <w:pStyle w:val="ConsPlusNormal"/>
            </w:pPr>
            <w:r>
              <w:t>Ф.И.О.</w:t>
            </w:r>
          </w:p>
        </w:tc>
        <w:tc>
          <w:tcPr>
            <w:tcW w:w="7425" w:type="dxa"/>
            <w:gridSpan w:val="13"/>
            <w:vMerge w:val="restart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6010" w:type="dxa"/>
            <w:gridSpan w:val="6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  <w:r>
              <w:t>М.П.</w:t>
            </w:r>
          </w:p>
        </w:tc>
        <w:tc>
          <w:tcPr>
            <w:tcW w:w="3344" w:type="dxa"/>
            <w:gridSpan w:val="4"/>
            <w:tcBorders>
              <w:bottom w:val="nil"/>
            </w:tcBorders>
          </w:tcPr>
          <w:p w:rsidR="00F91AF8" w:rsidRDefault="00F91AF8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  <w:tc>
          <w:tcPr>
            <w:tcW w:w="7425" w:type="dxa"/>
            <w:gridSpan w:val="13"/>
            <w:vMerge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</w:tr>
    </w:tbl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right"/>
        <w:outlineLvl w:val="1"/>
      </w:pPr>
      <w:r>
        <w:t>Приложение N 3</w:t>
      </w:r>
    </w:p>
    <w:p w:rsidR="00F91AF8" w:rsidRDefault="00F91AF8">
      <w:pPr>
        <w:pStyle w:val="ConsPlusNormal"/>
        <w:jc w:val="right"/>
      </w:pPr>
      <w:r>
        <w:t>к Правилам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center"/>
      </w:pPr>
      <w:r>
        <w:t>ГАРАНТИЙНОЕ ПИСЬМО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center"/>
      </w:pPr>
      <w:r>
        <w:t xml:space="preserve">Утратило силу. - </w:t>
      </w:r>
      <w:hyperlink r:id="rId37">
        <w:r>
          <w:rPr>
            <w:color w:val="0000FF"/>
          </w:rPr>
          <w:t>Постановление</w:t>
        </w:r>
      </w:hyperlink>
      <w:r>
        <w:t xml:space="preserve"> Правительства</w:t>
      </w:r>
    </w:p>
    <w:p w:rsidR="00F91AF8" w:rsidRDefault="00F91AF8">
      <w:pPr>
        <w:pStyle w:val="ConsPlusNormal"/>
        <w:jc w:val="center"/>
      </w:pPr>
      <w:r>
        <w:t>Мурманской области от 28.04.2023 N 330-ПП.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right"/>
        <w:outlineLvl w:val="1"/>
      </w:pPr>
      <w:r>
        <w:t>Приложение N 4</w:t>
      </w:r>
    </w:p>
    <w:p w:rsidR="00F91AF8" w:rsidRDefault="00F91AF8">
      <w:pPr>
        <w:pStyle w:val="ConsPlusNormal"/>
        <w:jc w:val="right"/>
      </w:pPr>
      <w:r>
        <w:t>к Правилам</w:t>
      </w: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center"/>
      </w:pPr>
      <w:bookmarkStart w:id="12" w:name="P429"/>
      <w:bookmarkEnd w:id="12"/>
      <w:r>
        <w:t>ИНФОРМАЦИЯ</w:t>
      </w:r>
    </w:p>
    <w:p w:rsidR="00F91AF8" w:rsidRDefault="00F91AF8">
      <w:pPr>
        <w:pStyle w:val="ConsPlusNormal"/>
        <w:jc w:val="center"/>
      </w:pPr>
      <w:r>
        <w:t>О ПРИНЯТЫХ ОБЯЗАТЕЛЬСТВАХ ПО ДОЛГОСРОЧНЫМ КОНТРАКТАМ,</w:t>
      </w:r>
    </w:p>
    <w:p w:rsidR="00F91AF8" w:rsidRDefault="00F91AF8">
      <w:pPr>
        <w:pStyle w:val="ConsPlusNormal"/>
        <w:jc w:val="center"/>
      </w:pPr>
      <w:r>
        <w:t>ЗАКЛЮЧЕННЫМ В РАМКАХ ПРЕДОСТАВЛЕННОЙ СУБСИДИИ</w:t>
      </w:r>
    </w:p>
    <w:p w:rsidR="00F91AF8" w:rsidRDefault="00F91AF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304"/>
        <w:gridCol w:w="737"/>
        <w:gridCol w:w="624"/>
        <w:gridCol w:w="794"/>
        <w:gridCol w:w="907"/>
        <w:gridCol w:w="1134"/>
        <w:gridCol w:w="1247"/>
        <w:gridCol w:w="1191"/>
      </w:tblGrid>
      <w:tr w:rsidR="00F91AF8">
        <w:tc>
          <w:tcPr>
            <w:tcW w:w="1757" w:type="dxa"/>
            <w:vMerge w:val="restart"/>
          </w:tcPr>
          <w:p w:rsidR="00F91AF8" w:rsidRDefault="00F91AF8">
            <w:pPr>
              <w:pStyle w:val="ConsPlusNormal"/>
            </w:pPr>
            <w:r>
              <w:lastRenderedPageBreak/>
              <w:t>Наименование мероприятия</w:t>
            </w:r>
          </w:p>
        </w:tc>
        <w:tc>
          <w:tcPr>
            <w:tcW w:w="4366" w:type="dxa"/>
            <w:gridSpan w:val="5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>Реквизиты контракта</w:t>
            </w:r>
          </w:p>
        </w:tc>
        <w:tc>
          <w:tcPr>
            <w:tcW w:w="3572" w:type="dxa"/>
            <w:gridSpan w:val="3"/>
            <w:vAlign w:val="center"/>
          </w:tcPr>
          <w:p w:rsidR="00F91AF8" w:rsidRDefault="00F91AF8">
            <w:pPr>
              <w:pStyle w:val="ConsPlusNormal"/>
              <w:jc w:val="center"/>
            </w:pPr>
            <w:r>
              <w:t xml:space="preserve">Сумма, подлежащая к оплате </w:t>
            </w:r>
            <w:proofErr w:type="gramStart"/>
            <w:r>
              <w:t>в</w:t>
            </w:r>
            <w:proofErr w:type="gramEnd"/>
          </w:p>
        </w:tc>
      </w:tr>
      <w:tr w:rsidR="00F91AF8">
        <w:tc>
          <w:tcPr>
            <w:tcW w:w="1757" w:type="dxa"/>
            <w:vMerge/>
          </w:tcPr>
          <w:p w:rsidR="00F91AF8" w:rsidRDefault="00F91AF8">
            <w:pPr>
              <w:pStyle w:val="ConsPlusNormal"/>
            </w:pPr>
          </w:p>
        </w:tc>
        <w:tc>
          <w:tcPr>
            <w:tcW w:w="1304" w:type="dxa"/>
          </w:tcPr>
          <w:p w:rsidR="00F91AF8" w:rsidRDefault="00F91AF8">
            <w:pPr>
              <w:pStyle w:val="ConsPlusNormal"/>
            </w:pPr>
            <w:r>
              <w:t>Предмет контракта</w:t>
            </w:r>
          </w:p>
        </w:tc>
        <w:tc>
          <w:tcPr>
            <w:tcW w:w="737" w:type="dxa"/>
          </w:tcPr>
          <w:p w:rsidR="00F91AF8" w:rsidRDefault="00F91AF8">
            <w:pPr>
              <w:pStyle w:val="ConsPlusNormal"/>
            </w:pPr>
            <w:r>
              <w:t>Дата</w:t>
            </w:r>
          </w:p>
        </w:tc>
        <w:tc>
          <w:tcPr>
            <w:tcW w:w="624" w:type="dxa"/>
          </w:tcPr>
          <w:p w:rsidR="00F91AF8" w:rsidRDefault="00F91AF8">
            <w:pPr>
              <w:pStyle w:val="ConsPlusNormal"/>
            </w:pPr>
            <w:r>
              <w:t>Номер</w:t>
            </w: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  <w:r>
              <w:t>Дата окончания</w:t>
            </w:r>
          </w:p>
        </w:tc>
        <w:tc>
          <w:tcPr>
            <w:tcW w:w="907" w:type="dxa"/>
          </w:tcPr>
          <w:p w:rsidR="00F91AF8" w:rsidRDefault="00F91AF8">
            <w:pPr>
              <w:pStyle w:val="ConsPlusNormal"/>
            </w:pPr>
            <w:r>
              <w:t>Стоимость, руб.</w:t>
            </w: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  <w:proofErr w:type="gramStart"/>
            <w:r>
              <w:t>текущем году</w:t>
            </w:r>
            <w:proofErr w:type="gramEnd"/>
          </w:p>
        </w:tc>
        <w:tc>
          <w:tcPr>
            <w:tcW w:w="1247" w:type="dxa"/>
          </w:tcPr>
          <w:p w:rsidR="00F91AF8" w:rsidRDefault="00F91AF8">
            <w:pPr>
              <w:pStyle w:val="ConsPlusNormal"/>
            </w:pPr>
            <w:r>
              <w:t xml:space="preserve">плановом </w:t>
            </w:r>
            <w:proofErr w:type="gramStart"/>
            <w:r>
              <w:t>периоде</w:t>
            </w:r>
            <w:proofErr w:type="gramEnd"/>
            <w:r>
              <w:t xml:space="preserve"> года</w:t>
            </w: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  <w:r>
              <w:t xml:space="preserve">плановом </w:t>
            </w:r>
            <w:proofErr w:type="gramStart"/>
            <w:r>
              <w:t>периоде</w:t>
            </w:r>
            <w:proofErr w:type="gramEnd"/>
            <w:r>
              <w:t xml:space="preserve"> года</w:t>
            </w:r>
          </w:p>
        </w:tc>
      </w:tr>
      <w:tr w:rsidR="00F91AF8">
        <w:tc>
          <w:tcPr>
            <w:tcW w:w="175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30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3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62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0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24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</w:tr>
      <w:tr w:rsidR="00F91AF8">
        <w:tc>
          <w:tcPr>
            <w:tcW w:w="175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30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3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62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0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24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</w:tr>
      <w:tr w:rsidR="00F91AF8">
        <w:tc>
          <w:tcPr>
            <w:tcW w:w="175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30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3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62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0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24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</w:tr>
      <w:tr w:rsidR="00F91AF8">
        <w:tc>
          <w:tcPr>
            <w:tcW w:w="175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30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3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62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79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90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34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247" w:type="dxa"/>
          </w:tcPr>
          <w:p w:rsidR="00F91AF8" w:rsidRDefault="00F91AF8">
            <w:pPr>
              <w:pStyle w:val="ConsPlusNormal"/>
            </w:pPr>
          </w:p>
        </w:tc>
        <w:tc>
          <w:tcPr>
            <w:tcW w:w="1191" w:type="dxa"/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</w:tblBorders>
        </w:tblPrEx>
        <w:tc>
          <w:tcPr>
            <w:tcW w:w="9695" w:type="dxa"/>
            <w:gridSpan w:val="9"/>
            <w:tcBorders>
              <w:left w:val="nil"/>
              <w:bottom w:val="nil"/>
              <w:right w:val="nil"/>
            </w:tcBorders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798" w:type="dxa"/>
            <w:gridSpan w:val="3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  <w:r>
              <w:t>Глава администрации муниципального образования</w:t>
            </w:r>
          </w:p>
        </w:tc>
        <w:tc>
          <w:tcPr>
            <w:tcW w:w="5897" w:type="dxa"/>
            <w:gridSpan w:val="6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798" w:type="dxa"/>
            <w:gridSpan w:val="3"/>
            <w:vMerge w:val="restart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  <w:tc>
          <w:tcPr>
            <w:tcW w:w="1418" w:type="dxa"/>
            <w:gridSpan w:val="2"/>
            <w:tcBorders>
              <w:top w:val="nil"/>
            </w:tcBorders>
          </w:tcPr>
          <w:p w:rsidR="00F91AF8" w:rsidRDefault="00F91AF8">
            <w:pPr>
              <w:pStyle w:val="ConsPlusNormal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  <w:tc>
          <w:tcPr>
            <w:tcW w:w="3572" w:type="dxa"/>
            <w:gridSpan w:val="3"/>
            <w:tcBorders>
              <w:top w:val="nil"/>
            </w:tcBorders>
          </w:tcPr>
          <w:p w:rsidR="00F91AF8" w:rsidRDefault="00F91AF8">
            <w:pPr>
              <w:pStyle w:val="ConsPlusNormal"/>
            </w:pPr>
          </w:p>
        </w:tc>
      </w:tr>
      <w:tr w:rsidR="00F91AF8">
        <w:tblPrEx>
          <w:tblBorders>
            <w:left w:val="nil"/>
            <w:right w:val="nil"/>
            <w:insideH w:val="nil"/>
            <w:insideV w:val="nil"/>
          </w:tblBorders>
        </w:tblPrEx>
        <w:tc>
          <w:tcPr>
            <w:tcW w:w="3798" w:type="dxa"/>
            <w:gridSpan w:val="3"/>
            <w:vMerge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F91AF8" w:rsidRDefault="00F91AF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F91AF8" w:rsidRDefault="00F91AF8">
            <w:pPr>
              <w:pStyle w:val="ConsPlusNormal"/>
            </w:pPr>
          </w:p>
        </w:tc>
        <w:tc>
          <w:tcPr>
            <w:tcW w:w="3572" w:type="dxa"/>
            <w:gridSpan w:val="3"/>
            <w:tcBorders>
              <w:bottom w:val="nil"/>
            </w:tcBorders>
          </w:tcPr>
          <w:p w:rsidR="00F91AF8" w:rsidRDefault="00F91AF8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91AF8">
        <w:tblPrEx>
          <w:tblBorders>
            <w:left w:val="nil"/>
            <w:right w:val="nil"/>
            <w:insideH w:val="nil"/>
          </w:tblBorders>
        </w:tblPrEx>
        <w:tc>
          <w:tcPr>
            <w:tcW w:w="969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1AF8" w:rsidRDefault="00F91AF8">
            <w:pPr>
              <w:pStyle w:val="ConsPlusNormal"/>
              <w:jc w:val="both"/>
            </w:pPr>
            <w:r>
              <w:t>М.П.</w:t>
            </w:r>
          </w:p>
        </w:tc>
      </w:tr>
    </w:tbl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  <w:jc w:val="both"/>
      </w:pPr>
    </w:p>
    <w:p w:rsidR="00F91AF8" w:rsidRDefault="00F91AF8">
      <w:pPr>
        <w:pStyle w:val="ConsPlusNormal"/>
      </w:pPr>
      <w:hyperlink r:id="rId38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{КонсультантПлюс}}</w:t>
        </w:r>
      </w:hyperlink>
      <w:r>
        <w:br/>
      </w:r>
    </w:p>
    <w:p w:rsidR="00730BC3" w:rsidRDefault="00730BC3">
      <w:bookmarkStart w:id="13" w:name="_GoBack"/>
      <w:bookmarkEnd w:id="13"/>
    </w:p>
    <w:sectPr w:rsidR="00730BC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F8"/>
    <w:rsid w:val="00730BC3"/>
    <w:rsid w:val="00F9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A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1A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A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91A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16AF726A270D4FE2A8B31472671CD5D68455DC7A972691B7DF700FBF203D58961A1AA3DEED16E29AB1C13A908D39CD17C35EF2BA33FD739811C8D368sCL" TargetMode="External"/><Relationship Id="rId13" Type="http://schemas.openxmlformats.org/officeDocument/2006/relationships/hyperlink" Target="consultantplus://offline/ref=B416AF726A270D4FE2A8AD19640B42D0D58A08D87D9124C4E2837658E0703B0DC45A44FA9CA905E392AFC33A9B68s5L" TargetMode="External"/><Relationship Id="rId18" Type="http://schemas.openxmlformats.org/officeDocument/2006/relationships/hyperlink" Target="consultantplus://offline/ref=B416AF726A270D4FE2A8B31472671CD5D68455DC7A972894BBDE700FBF203D58961A1AA3DEED16E29AB1C13A9E8D39CD17C35EF2BA33FD739811C8D368sCL" TargetMode="External"/><Relationship Id="rId26" Type="http://schemas.openxmlformats.org/officeDocument/2006/relationships/hyperlink" Target="consultantplus://offline/ref=B416AF726A270D4FE2A8B31472671CD5D68455DC7A972691B7DF700FBF203D58961A1AA3DEED16E29AB1C138988D39CD17C35EF2BA33FD739811C8D368sC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416AF726A270D4FE2A8B31472671CD5D68455DC7A972691B7DF700FBF203D58961A1AA3DEED16E29AB1C13B9C8D39CD17C35EF2BA33FD739811C8D368sCL" TargetMode="External"/><Relationship Id="rId34" Type="http://schemas.openxmlformats.org/officeDocument/2006/relationships/hyperlink" Target="consultantplus://offline/ref=B416AF726A270D4FE2A8B31472671CD5D68455DC7A942C90B8D0700FBF203D58961A1AA3DEED16E29AB1C5399D8D39CD17C35EF2BA33FD739811C8D368sCL" TargetMode="External"/><Relationship Id="rId7" Type="http://schemas.openxmlformats.org/officeDocument/2006/relationships/hyperlink" Target="consultantplus://offline/ref=B416AF726A270D4FE2A8B31472671CD5D68455DC7A972894BBDE700FBF203D58961A1AA3DEED16E29AB1C13A9F8D39CD17C35EF2BA33FD739811C8D368sCL" TargetMode="External"/><Relationship Id="rId12" Type="http://schemas.openxmlformats.org/officeDocument/2006/relationships/hyperlink" Target="consultantplus://offline/ref=B416AF726A270D4FE2A8AD19640B42D0D58A0FD17B9624C4E2837658E0703B0DD65A1CF595AC10B7CBF594379886739C5B8851F3B862sEL" TargetMode="External"/><Relationship Id="rId17" Type="http://schemas.openxmlformats.org/officeDocument/2006/relationships/hyperlink" Target="consultantplus://offline/ref=B416AF726A270D4FE2A8B31472671CD5D68455DC7A942C91BBD3700FBF203D58961A1AA3DEED16E29AB0C23E918D39CD17C35EF2BA33FD739811C8D368sCL" TargetMode="External"/><Relationship Id="rId25" Type="http://schemas.openxmlformats.org/officeDocument/2006/relationships/hyperlink" Target="consultantplus://offline/ref=B416AF726A270D4FE2A8B31472671CD5D68455DC7A972691B7DF700FBF203D58961A1AA3DEED16E29AB1C138998D39CD17C35EF2BA33FD739811C8D368sCL" TargetMode="External"/><Relationship Id="rId33" Type="http://schemas.openxmlformats.org/officeDocument/2006/relationships/hyperlink" Target="consultantplus://offline/ref=B416AF726A270D4FE2A8B31472671CD5D68455DC7A942C90B8D0700FBF203D58961A1AA3DEED16E29AB1C5399A8D39CD17C35EF2BA33FD739811C8D368sCL" TargetMode="External"/><Relationship Id="rId38" Type="http://schemas.openxmlformats.org/officeDocument/2006/relationships/hyperlink" Target="consultantplus://offline/ref=B416AF726A270D4FE2A8B31472671CD5D68455DC7A942A90BEDF700FBF203D58961A1AA3DEED16E09DB1C231CDD729C95E9753EDBA25E37986116CsB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416AF726A270D4FE2A8B31472671CD5D68455DC7A942B90BCDF700FBF203D58961A1AA3DEED16E29AB1C33F998D39CD17C35EF2BA33FD739811C8D368sCL" TargetMode="External"/><Relationship Id="rId20" Type="http://schemas.openxmlformats.org/officeDocument/2006/relationships/hyperlink" Target="consultantplus://offline/ref=B416AF726A270D4FE2A8B31472671CD5D68455DC7A972691B7DF700FBF203D58961A1AA3DEED16E29AB1C13B9A8D39CD17C35EF2BA33FD739811C8D368sCL" TargetMode="External"/><Relationship Id="rId29" Type="http://schemas.openxmlformats.org/officeDocument/2006/relationships/hyperlink" Target="consultantplus://offline/ref=B416AF726A270D4FE2A8B31472671CD5D68455DC7A942B90BCDF700FBF203D58961A1AA3DEED16E29AB1C23A9C8D39CD17C35EF2BA33FD739811C8D368sC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416AF726A270D4FE2A8B31472671CD5D68455DC7A972C97B7D3700FBF203D58961A1AA3DEED16E29AB1C13B9B8D39CD17C35EF2BA33FD739811C8D368sCL" TargetMode="External"/><Relationship Id="rId11" Type="http://schemas.openxmlformats.org/officeDocument/2006/relationships/hyperlink" Target="consultantplus://offline/ref=B416AF726A270D4FE2A8B31472671CD5D68455DC7A942C90B8D0700FBF203D58961A1AA3DEED16E29AB1C5399B8D39CD17C35EF2BA33FD739811C8D368sCL" TargetMode="External"/><Relationship Id="rId24" Type="http://schemas.openxmlformats.org/officeDocument/2006/relationships/hyperlink" Target="consultantplus://offline/ref=B416AF726A270D4FE2A8B31472671CD5D68455DC7A972691B7DF700FBF203D58961A1AA3DEED16E29AB1C13B908D39CD17C35EF2BA33FD739811C8D368sCL" TargetMode="External"/><Relationship Id="rId32" Type="http://schemas.openxmlformats.org/officeDocument/2006/relationships/hyperlink" Target="consultantplus://offline/ref=B416AF726A270D4FE2A8B31472671CD5D68455DC7A942B90BCDF700FBF203D58961A1AA3DEED16E29AB1C2329C8D39CD17C35EF2BA33FD739811C8D368sCL" TargetMode="External"/><Relationship Id="rId37" Type="http://schemas.openxmlformats.org/officeDocument/2006/relationships/hyperlink" Target="consultantplus://offline/ref=B416AF726A270D4FE2A8B31472671CD5D68455DC7A942C90B8D0700FBF203D58961A1AA3DEED16E29AB1C5399F8D39CD17C35EF2BA33FD739811C8D368sCL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B416AF726A270D4FE2A8B31472671CD5D68455DC7A972D97BBD4700FBF203D58961A1AA3DEED16E29AB3C43D9C8D39CD17C35EF2BA33FD739811C8D368sCL" TargetMode="External"/><Relationship Id="rId15" Type="http://schemas.openxmlformats.org/officeDocument/2006/relationships/hyperlink" Target="consultantplus://offline/ref=B416AF726A270D4FE2A8B31472671CD5D68455DC7A942B90BCDF700FBF203D58961A1AA3DEED16E29AB1C23E9F8D39CD17C35EF2BA33FD739811C8D368sCL" TargetMode="External"/><Relationship Id="rId23" Type="http://schemas.openxmlformats.org/officeDocument/2006/relationships/hyperlink" Target="consultantplus://offline/ref=B416AF726A270D4FE2A8B31472671CD5D68455DC7A972691B7DF700FBF203D58961A1AA3DEED16E29AB1C13B918D39CD17C35EF2BA33FD739811C8D368sCL" TargetMode="External"/><Relationship Id="rId28" Type="http://schemas.openxmlformats.org/officeDocument/2006/relationships/hyperlink" Target="consultantplus://offline/ref=B416AF726A270D4FE2A8B31472671CD5D68455DC7A972691B7DF700FBF203D58961A1AA3DEED16E29AB1C1389A8D39CD17C35EF2BA33FD739811C8D368sCL" TargetMode="External"/><Relationship Id="rId36" Type="http://schemas.openxmlformats.org/officeDocument/2006/relationships/hyperlink" Target="consultantplus://offline/ref=B416AF726A270D4FE2A8B31472671CD5D68455DC7A942C90B8D0700FBF203D58961A1AA3DEED16E29AB1C5399C8D39CD17C35EF2BA33FD739811C8D368sCL" TargetMode="External"/><Relationship Id="rId10" Type="http://schemas.openxmlformats.org/officeDocument/2006/relationships/hyperlink" Target="consultantplus://offline/ref=B416AF726A270D4FE2A8B31472671CD5D68455DC7A972691B7DF700FBF203D58961A1AA3DEED16E29AB1C13B998D39CD17C35EF2BA33FD739811C8D368sCL" TargetMode="External"/><Relationship Id="rId19" Type="http://schemas.openxmlformats.org/officeDocument/2006/relationships/hyperlink" Target="consultantplus://offline/ref=B416AF726A270D4FE2A8B31472671CD5D68455DC7A972894BBDE700FBF203D58961A1AA3DEED16E29AB1C13A908D39CD17C35EF2BA33FD739811C8D368sCL" TargetMode="External"/><Relationship Id="rId31" Type="http://schemas.openxmlformats.org/officeDocument/2006/relationships/hyperlink" Target="consultantplus://offline/ref=B416AF726A270D4FE2A8B31472671CD5D68455DC7A942B90BCDF700FBF203D58961A1AA3DEED16E29AB1C23D9E8D39CD17C35EF2BA33FD739811C8D368s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16AF726A270D4FE2A8B31472671CD5D68455DC7A942C90B8D0700FBF203D58961A1AA3DEED16E29AB1C539988D39CD17C35EF2BA33FD739811C8D368sCL" TargetMode="External"/><Relationship Id="rId14" Type="http://schemas.openxmlformats.org/officeDocument/2006/relationships/hyperlink" Target="consultantplus://offline/ref=B416AF726A270D4FE2A8AD19640B42D0D58A08D87D9124C4E2837658E0703B0DC45A44FA9CA905E392AFC33A9B68s5L" TargetMode="External"/><Relationship Id="rId22" Type="http://schemas.openxmlformats.org/officeDocument/2006/relationships/hyperlink" Target="consultantplus://offline/ref=B416AF726A270D4FE2A8B31472671CD5D68455DC7A972691B7DF700FBF203D58961A1AA3DEED16E29AB1C13B9E8D39CD17C35EF2BA33FD739811C8D368sCL" TargetMode="External"/><Relationship Id="rId27" Type="http://schemas.openxmlformats.org/officeDocument/2006/relationships/hyperlink" Target="consultantplus://offline/ref=B416AF726A270D4FE2A8B31472671CD5D68455DC7A972691B7DF700FBF203D58961A1AA3DEED16E29AB1C1389B8D39CD17C35EF2BA33FD739811C8D368sCL" TargetMode="External"/><Relationship Id="rId30" Type="http://schemas.openxmlformats.org/officeDocument/2006/relationships/hyperlink" Target="consultantplus://offline/ref=B416AF726A270D4FE2A8B31472671CD5D68455DC7A942B90BCDF700FBF203D58961A1AA3DEED16E29AB1C23D9A8D39CD17C35EF2BA33FD739811C8D368sCL" TargetMode="External"/><Relationship Id="rId35" Type="http://schemas.openxmlformats.org/officeDocument/2006/relationships/hyperlink" Target="consultantplus://offline/ref=B416AF726A270D4FE2A8B31472671CD5D68455DC7A972C97B7D3700FBF203D58961A1AA3DEED16E29AB1C13B9B8D39CD17C35EF2BA33FD739811C8D368s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5713</Words>
  <Characters>32565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38202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2023-08-10T11:44:00Z</dcterms:created>
  <dcterms:modified xsi:type="dcterms:W3CDTF">2023-08-10T11:45:00Z</dcterms:modified>
</cp:coreProperties>
</file>